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5CD55C29" w14:textId="77777777" w:rsidR="002C1864" w:rsidRPr="00ED6435" w:rsidRDefault="002C1864" w:rsidP="002C1864">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03D8989"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Pr>
          <w:rFonts w:ascii="Arial" w:hAnsi="Arial" w:cs="Arial"/>
        </w:rPr>
        <w:t>Teplice</w:t>
      </w:r>
      <w:r w:rsidRPr="00ED6435">
        <w:rPr>
          <w:rFonts w:ascii="Arial" w:hAnsi="Arial" w:cs="Arial"/>
          <w:snapToGrid w:val="0"/>
        </w:rPr>
        <w:t xml:space="preserve">, na adrese </w:t>
      </w:r>
      <w:r>
        <w:rPr>
          <w:rFonts w:ascii="Arial" w:hAnsi="Arial" w:cs="Arial"/>
          <w:snapToGrid w:val="0"/>
        </w:rPr>
        <w:t>Masarykova 2421/66, 415 01 Teplice</w:t>
      </w:r>
      <w:r w:rsidRPr="00ED6435">
        <w:rPr>
          <w:rFonts w:ascii="Arial" w:hAnsi="Arial" w:cs="Arial"/>
        </w:rPr>
        <w:t xml:space="preserve"> </w:t>
      </w:r>
    </w:p>
    <w:p w14:paraId="53D1EAD1"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Pojerem, ředitelem KPÚ pro Ústecký kraj</w:t>
      </w:r>
      <w:r w:rsidRPr="00ED6435">
        <w:rPr>
          <w:rFonts w:ascii="Arial" w:hAnsi="Arial" w:cs="Arial"/>
          <w:iCs/>
        </w:rPr>
        <w:t xml:space="preserve"> </w:t>
      </w:r>
    </w:p>
    <w:p w14:paraId="372A278C"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Pavlem Pojerem, ředitelem KPÚ pro Ústecký kraj</w:t>
      </w:r>
      <w:r w:rsidRPr="00ED6435">
        <w:rPr>
          <w:rFonts w:ascii="Arial" w:hAnsi="Arial" w:cs="Arial"/>
        </w:rPr>
        <w:t xml:space="preserve"> </w:t>
      </w:r>
    </w:p>
    <w:p w14:paraId="673C02FE" w14:textId="77777777" w:rsidR="002C1864" w:rsidRPr="00ED6435" w:rsidRDefault="002C1864" w:rsidP="002C1864">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Karlem Fingerhutem,</w:t>
      </w:r>
      <w:r w:rsidRPr="00ED6435">
        <w:rPr>
          <w:rFonts w:ascii="Arial" w:hAnsi="Arial" w:cs="Arial"/>
        </w:rPr>
        <w:t xml:space="preserve"> KPÚ</w:t>
      </w:r>
      <w:r>
        <w:rPr>
          <w:rFonts w:ascii="Arial" w:hAnsi="Arial" w:cs="Arial"/>
        </w:rPr>
        <w:t xml:space="preserve"> pro Ústecký kraj</w:t>
      </w:r>
      <w:r w:rsidRPr="00ED6435">
        <w:rPr>
          <w:rFonts w:ascii="Arial" w:hAnsi="Arial" w:cs="Arial"/>
        </w:rPr>
        <w:t xml:space="preserve">, Pobočka </w:t>
      </w:r>
      <w:r>
        <w:rPr>
          <w:rFonts w:ascii="Arial" w:hAnsi="Arial" w:cs="Arial"/>
        </w:rPr>
        <w:t>Teplice</w:t>
      </w:r>
      <w:r w:rsidRPr="00ED6435">
        <w:rPr>
          <w:rFonts w:ascii="Arial" w:hAnsi="Arial" w:cs="Arial"/>
          <w:iCs/>
        </w:rPr>
        <w:t xml:space="preserve"> </w:t>
      </w:r>
    </w:p>
    <w:p w14:paraId="044BC203"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95EAA9B"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+420 727 956 826</w:t>
      </w:r>
    </w:p>
    <w:p w14:paraId="6FC3DB04"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teplice.pk@spucr.cz</w:t>
      </w:r>
    </w:p>
    <w:p w14:paraId="47B61912" w14:textId="77777777" w:rsidR="002C1864" w:rsidRPr="00ED6435" w:rsidRDefault="002C1864" w:rsidP="002C1864">
      <w:pPr>
        <w:spacing w:after="120"/>
        <w:ind w:left="567" w:right="1418"/>
        <w:jc w:val="both"/>
        <w:rPr>
          <w:rFonts w:ascii="Arial" w:hAnsi="Arial" w:cs="Arial"/>
          <w:b/>
          <w:i/>
        </w:rPr>
      </w:pPr>
      <w:r w:rsidRPr="00ED6435">
        <w:rPr>
          <w:rFonts w:ascii="Arial" w:hAnsi="Arial" w:cs="Arial"/>
        </w:rPr>
        <w:t>ID datové schránky: z49per3</w:t>
      </w:r>
    </w:p>
    <w:p w14:paraId="2FECA1AE" w14:textId="77777777" w:rsidR="002C1864" w:rsidRPr="00ED6435" w:rsidRDefault="002C1864" w:rsidP="002C186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24035765" w14:textId="77777777" w:rsidR="002C1864" w:rsidRPr="00ED6435" w:rsidRDefault="002C1864" w:rsidP="002C1864">
      <w:pPr>
        <w:spacing w:after="120"/>
        <w:ind w:left="4536" w:right="1417" w:hanging="3969"/>
        <w:contextualSpacing/>
        <w:jc w:val="both"/>
        <w:rPr>
          <w:rFonts w:ascii="Arial" w:hAnsi="Arial" w:cs="Arial"/>
          <w:b/>
          <w:i/>
        </w:rPr>
      </w:pPr>
      <w:r w:rsidRPr="00ED6435">
        <w:rPr>
          <w:rFonts w:ascii="Arial" w:hAnsi="Arial" w:cs="Arial"/>
        </w:rPr>
        <w:t>Číslo účtu: 3723001/0710</w:t>
      </w:r>
    </w:p>
    <w:p w14:paraId="2F3C8699" w14:textId="77777777" w:rsidR="002C1864" w:rsidRPr="00ED6435" w:rsidRDefault="002C1864" w:rsidP="002C1864">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0046B4E" w14:textId="77777777" w:rsidR="002C1864" w:rsidRPr="00ED6435" w:rsidRDefault="002C1864" w:rsidP="002C1864">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4B15B18" w14:textId="77777777" w:rsidR="00583645" w:rsidRPr="00ED6435" w:rsidRDefault="00583645" w:rsidP="00583645">
      <w:pPr>
        <w:pStyle w:val="Preambule"/>
        <w:keepNext/>
        <w:widowControl/>
        <w:spacing w:line="240" w:lineRule="auto"/>
        <w:jc w:val="both"/>
        <w:rPr>
          <w:rFonts w:ascii="Arial" w:hAnsi="Arial" w:cs="Arial"/>
        </w:rPr>
      </w:pPr>
      <w:bookmarkStart w:id="1" w:name="_Ref132791901"/>
      <w:bookmarkStart w:id="2"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zadávací řízení dle § 56 a násl.  ZZVZ na veřejnou zakázku s názvem „</w:t>
      </w:r>
      <w:r w:rsidRPr="00ED6435">
        <w:rPr>
          <w:rFonts w:ascii="Arial" w:hAnsi="Arial" w:cs="Arial"/>
          <w:b/>
          <w:bCs/>
        </w:rPr>
        <w:t>Ko</w:t>
      </w:r>
      <w:r>
        <w:rPr>
          <w:rFonts w:ascii="Arial" w:hAnsi="Arial" w:cs="Arial"/>
          <w:b/>
          <w:bCs/>
        </w:rPr>
        <w:t>PÚ Leština u Malého Března a KoPÚ Týniště u Zubrnic</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2"/>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030098A4" w14:textId="77777777" w:rsidR="00583645" w:rsidRPr="00ED6435" w:rsidRDefault="00583645" w:rsidP="00583645">
      <w:pPr>
        <w:pStyle w:val="Preambule"/>
        <w:widowControl/>
        <w:spacing w:line="240" w:lineRule="auto"/>
        <w:jc w:val="both"/>
        <w:rPr>
          <w:rFonts w:ascii="Arial" w:hAnsi="Arial" w:cs="Arial"/>
        </w:rPr>
      </w:pPr>
      <w:r w:rsidRPr="5784E4A4">
        <w:rPr>
          <w:rFonts w:ascii="Arial" w:hAnsi="Arial" w:cs="Arial"/>
        </w:rPr>
        <w:t>Zhotovitel předložil Objednateli dne .......... svou nabídku na Veřejnou zakázku („</w:t>
      </w:r>
      <w:r w:rsidRPr="5784E4A4">
        <w:rPr>
          <w:rFonts w:ascii="Arial" w:hAnsi="Arial" w:cs="Arial"/>
          <w:b/>
          <w:bCs/>
        </w:rPr>
        <w:t>Nabídka</w:t>
      </w:r>
      <w:r w:rsidRPr="5784E4A4">
        <w:rPr>
          <w:rFonts w:ascii="Arial" w:hAnsi="Arial" w:cs="Arial"/>
        </w:rPr>
        <w:t xml:space="preserve">“), kterou Objednatel vyhodnotil </w:t>
      </w:r>
      <w:r w:rsidRPr="00FF0413">
        <w:rPr>
          <w:rFonts w:ascii="Arial" w:hAnsi="Arial" w:cs="Arial"/>
        </w:rPr>
        <w:t>v zadávacím / výběrovém</w:t>
      </w:r>
      <w:r w:rsidRPr="5784E4A4">
        <w:rPr>
          <w:rFonts w:ascii="Arial" w:hAnsi="Arial" w:cs="Arial"/>
        </w:rPr>
        <w:t xml:space="preserve"> řízení postupem dle ZZVZ jako ekonomicky nejvýhodnější. Objednatel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 </w:t>
      </w:r>
    </w:p>
    <w:p w14:paraId="48EC74CA" w14:textId="77777777" w:rsidR="00583645" w:rsidRPr="00ED6435" w:rsidRDefault="00583645" w:rsidP="00583645">
      <w:pPr>
        <w:pStyle w:val="Preambule"/>
        <w:widowControl/>
        <w:spacing w:line="240" w:lineRule="auto"/>
        <w:jc w:val="both"/>
        <w:rPr>
          <w:rFonts w:ascii="Arial" w:hAnsi="Arial" w:cs="Arial"/>
        </w:rPr>
      </w:pPr>
      <w:r w:rsidRPr="00ED6435">
        <w:rPr>
          <w:rFonts w:ascii="Arial" w:hAnsi="Arial" w:cs="Arial"/>
        </w:rPr>
        <w:t>Zhotovitel je osobou, která se zabývá mimo jiné vytvářením komplexních územních dokumentací na základě specifických požadavků svých klientů s využitím moderních postupů v dané oblasti a je tak odborně způsobilý k činnostem sjednaným v této Smlouvě. Zhotovitel je schopen a připraven plnit své povinnosti vyplývající ze Smlouvy řádně a včas a realizovat předmět Veřejné zakázky v souladu s principy „</w:t>
      </w:r>
      <w:proofErr w:type="spellStart"/>
      <w:r w:rsidRPr="00ED6435">
        <w:rPr>
          <w:rFonts w:ascii="Arial" w:hAnsi="Arial" w:cs="Arial"/>
          <w:i/>
        </w:rPr>
        <w:t>best</w:t>
      </w:r>
      <w:proofErr w:type="spellEnd"/>
      <w:r w:rsidRPr="00ED6435">
        <w:rPr>
          <w:rFonts w:ascii="Arial" w:hAnsi="Arial" w:cs="Arial"/>
          <w:i/>
        </w:rPr>
        <w:t xml:space="preserve"> </w:t>
      </w:r>
      <w:proofErr w:type="spellStart"/>
      <w:r w:rsidRPr="00ED6435">
        <w:rPr>
          <w:rFonts w:ascii="Arial" w:hAnsi="Arial" w:cs="Arial"/>
          <w:i/>
        </w:rPr>
        <w:t>practice</w:t>
      </w:r>
      <w:proofErr w:type="spellEnd"/>
      <w:r w:rsidRPr="00ED6435">
        <w:rPr>
          <w:rFonts w:ascii="Arial" w:hAnsi="Arial" w:cs="Arial"/>
        </w:rPr>
        <w:t xml:space="preserve">“ </w:t>
      </w:r>
      <w:r w:rsidRPr="00717101">
        <w:rPr>
          <w:rFonts w:ascii="Arial" w:hAnsi="Arial" w:cs="Arial"/>
        </w:rPr>
        <w:t>dle svého nejlepšího</w:t>
      </w:r>
      <w:r w:rsidRPr="00ED6435">
        <w:rPr>
          <w:rFonts w:ascii="Arial" w:hAnsi="Arial" w:cs="Arial"/>
        </w:rPr>
        <w:t xml:space="preserve">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1"/>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43389655" w14:textId="77777777" w:rsidR="00FF097E" w:rsidRPr="00ED6435" w:rsidRDefault="00FF097E" w:rsidP="00FF097E">
      <w:pPr>
        <w:pStyle w:val="Level2"/>
        <w:keepLines/>
        <w:widowControl w:val="0"/>
        <w:numPr>
          <w:ilvl w:val="2"/>
          <w:numId w:val="2"/>
        </w:numPr>
        <w:spacing w:line="240" w:lineRule="auto"/>
        <w:ind w:left="567" w:hanging="567"/>
        <w:jc w:val="both"/>
        <w:outlineLvl w:val="9"/>
        <w:rPr>
          <w:rFonts w:ascii="Arial" w:hAnsi="Arial" w:cs="Arial"/>
          <w:szCs w:val="22"/>
        </w:rPr>
      </w:pPr>
      <w:bookmarkStart w:id="3" w:name="_Ref64871997"/>
      <w:r w:rsidRPr="00ED6435">
        <w:rPr>
          <w:rFonts w:ascii="Arial" w:hAnsi="Arial" w:cs="Arial"/>
          <w:szCs w:val="22"/>
        </w:rPr>
        <w:t>Předmětem této Smlouvy je povinnost Zhotovitele provést pro Objednatele řádně a včas dílo s názvem „</w:t>
      </w:r>
      <w:r w:rsidRPr="00ED6435">
        <w:rPr>
          <w:rFonts w:ascii="Arial" w:hAnsi="Arial" w:cs="Arial"/>
          <w:b/>
          <w:bCs/>
          <w:szCs w:val="22"/>
        </w:rPr>
        <w:t>Komplexní pozemkové úpravy</w:t>
      </w:r>
      <w:r>
        <w:rPr>
          <w:rFonts w:ascii="Arial" w:hAnsi="Arial" w:cs="Arial"/>
          <w:b/>
          <w:bCs/>
          <w:szCs w:val="22"/>
        </w:rPr>
        <w:t xml:space="preserve"> Leština u Malého Března</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bookmarkEnd w:id="3"/>
    </w:p>
    <w:p w14:paraId="2688741A" w14:textId="4E763D0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Pr="00FF097E">
        <w:rPr>
          <w:rFonts w:ascii="Arial" w:hAnsi="Arial" w:cs="Arial"/>
        </w:rPr>
        <w:t>v k.</w:t>
      </w:r>
      <w:r w:rsidRPr="00ED6435">
        <w:rPr>
          <w:rFonts w:ascii="Arial" w:hAnsi="Arial" w:cs="Arial"/>
        </w:rPr>
        <w:t> ú.</w:t>
      </w:r>
      <w:r w:rsidR="00FF097E">
        <w:rPr>
          <w:rFonts w:ascii="Arial" w:hAnsi="Arial" w:cs="Arial"/>
        </w:rPr>
        <w:t xml:space="preserve"> Leština u Malého Března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AA13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F097E">
        <w:rPr>
          <w:rFonts w:ascii="Arial" w:hAnsi="Arial" w:cs="Arial"/>
          <w:szCs w:val="22"/>
        </w:rPr>
        <w:t>Státní pozemkový Úřad, Pobočka Teplice, Masarykova 2421/66, 415 01 Teplice</w:t>
      </w:r>
      <w:r w:rsidR="00FF097E"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50A722" w:rsidR="0008597D" w:rsidRPr="009060BB" w:rsidRDefault="00974AE3"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18EAEE9F" w:rsidR="00B022EF" w:rsidRPr="009060BB" w:rsidRDefault="00974AE3"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74AE3">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91D61BB" w:rsidR="00B9128B" w:rsidRPr="00764100" w:rsidRDefault="00974AE3"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SMLOUVY.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6BE3268B" w:rsidR="006B518C" w:rsidRPr="00764100" w:rsidRDefault="00974AE3"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A60896F" w:rsidR="00F821DF" w:rsidRPr="00764100" w:rsidRDefault="00974AE3" w:rsidP="00C643A6">
      <w:pPr>
        <w:pStyle w:val="Level3"/>
        <w:tabs>
          <w:tab w:val="clear" w:pos="2041"/>
        </w:tabs>
        <w:ind w:left="1418"/>
        <w:jc w:val="both"/>
        <w:rPr>
          <w:rFonts w:ascii="Arial" w:hAnsi="Arial" w:cs="Arial"/>
          <w:szCs w:val="22"/>
        </w:rPr>
      </w:pPr>
      <w:bookmarkStart w:id="66"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6A445C" w:rsidRDefault="00B9128B" w:rsidP="00024EBF">
      <w:pPr>
        <w:pStyle w:val="Claneka"/>
        <w:keepLines w:val="0"/>
        <w:widowControl/>
        <w:numPr>
          <w:ilvl w:val="2"/>
          <w:numId w:val="22"/>
        </w:numPr>
        <w:spacing w:line="240" w:lineRule="auto"/>
        <w:jc w:val="both"/>
        <w:rPr>
          <w:rFonts w:ascii="Arial" w:hAnsi="Arial" w:cs="Arial"/>
        </w:rPr>
      </w:pPr>
      <w:r w:rsidRPr="006A445C">
        <w:rPr>
          <w:rFonts w:ascii="Arial" w:hAnsi="Arial" w:cs="Arial"/>
        </w:rPr>
        <w:t xml:space="preserve">Revize </w:t>
      </w:r>
      <w:r w:rsidR="006C17B9" w:rsidRPr="006A445C">
        <w:rPr>
          <w:rFonts w:ascii="Arial" w:hAnsi="Arial" w:cs="Arial"/>
        </w:rPr>
        <w:t xml:space="preserve">a doplnění </w:t>
      </w:r>
      <w:r w:rsidRPr="006A445C">
        <w:rPr>
          <w:rFonts w:ascii="Arial" w:hAnsi="Arial" w:cs="Arial"/>
        </w:rPr>
        <w:t>stávajícího bodového pole</w:t>
      </w:r>
      <w:r w:rsidR="00687085" w:rsidRPr="006A445C">
        <w:rPr>
          <w:rFonts w:ascii="Arial" w:hAnsi="Arial" w:cs="Arial"/>
        </w:rPr>
        <w:t xml:space="preserve"> –</w:t>
      </w:r>
      <w:r w:rsidRPr="006A445C">
        <w:rPr>
          <w:rFonts w:ascii="Arial" w:hAnsi="Arial" w:cs="Arial"/>
        </w:rPr>
        <w:t xml:space="preserve"> digitální vyhotovení určené Objednateli;</w:t>
      </w:r>
    </w:p>
    <w:p w14:paraId="4C33119E" w14:textId="7BC57AC8" w:rsidR="00B9128B" w:rsidRPr="006A445C" w:rsidRDefault="00B13597" w:rsidP="00024EBF">
      <w:pPr>
        <w:pStyle w:val="Claneka"/>
        <w:keepLines w:val="0"/>
        <w:widowControl/>
        <w:numPr>
          <w:ilvl w:val="2"/>
          <w:numId w:val="22"/>
        </w:numPr>
        <w:spacing w:line="240" w:lineRule="auto"/>
        <w:jc w:val="both"/>
        <w:rPr>
          <w:rFonts w:ascii="Arial" w:hAnsi="Arial" w:cs="Arial"/>
        </w:rPr>
      </w:pPr>
      <w:r w:rsidRPr="006A445C">
        <w:rPr>
          <w:rFonts w:ascii="Arial" w:hAnsi="Arial" w:cs="Arial"/>
        </w:rPr>
        <w:t xml:space="preserve">Podrobné měření polohopisu v obvodu KoPÚ </w:t>
      </w:r>
      <w:r w:rsidR="00687085" w:rsidRPr="006A445C">
        <w:rPr>
          <w:rFonts w:ascii="Arial" w:hAnsi="Arial" w:cs="Arial"/>
        </w:rPr>
        <w:t>–</w:t>
      </w:r>
      <w:r w:rsidR="00B9128B" w:rsidRPr="006A445C">
        <w:rPr>
          <w:rFonts w:ascii="Arial" w:hAnsi="Arial" w:cs="Arial"/>
        </w:rPr>
        <w:t xml:space="preserve"> digitální vyhotovení určené Objednateli;</w:t>
      </w:r>
    </w:p>
    <w:p w14:paraId="0690844D" w14:textId="5DC96C97" w:rsidR="006D7FB1" w:rsidRPr="00EE517F" w:rsidRDefault="00BE577C"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AEACDD9" w:rsidR="00F821DF" w:rsidRPr="00EE517F" w:rsidRDefault="00BE577C"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BE577C">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DD1A1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BE577C">
        <w:rPr>
          <w:rFonts w:ascii="Arial" w:hAnsi="Arial" w:cs="Arial"/>
          <w:szCs w:val="22"/>
        </w:rPr>
        <w:t xml:space="preserve"> PRO Ústecký kraj</w:t>
      </w:r>
      <w:r w:rsidR="00127C34" w:rsidRPr="00C62699">
        <w:rPr>
          <w:rFonts w:ascii="Arial" w:hAnsi="Arial" w:cs="Arial"/>
          <w:szCs w:val="22"/>
        </w:rPr>
        <w:t>,</w:t>
      </w:r>
      <w:r w:rsidR="00BE577C">
        <w:rPr>
          <w:rFonts w:ascii="Arial" w:hAnsi="Arial" w:cs="Arial"/>
          <w:szCs w:val="22"/>
        </w:rPr>
        <w:t xml:space="preserve"> </w:t>
      </w:r>
      <w:r w:rsidR="00127C34" w:rsidRPr="00C62699">
        <w:rPr>
          <w:rFonts w:ascii="Arial" w:hAnsi="Arial" w:cs="Arial"/>
          <w:szCs w:val="22"/>
        </w:rPr>
        <w:t xml:space="preserve"> Pobočky</w:t>
      </w:r>
      <w:r w:rsidR="00BE577C">
        <w:rPr>
          <w:rFonts w:ascii="Arial" w:hAnsi="Arial" w:cs="Arial"/>
          <w:szCs w:val="22"/>
        </w:rPr>
        <w:t xml:space="preserve"> Teplice</w:t>
      </w:r>
      <w:r w:rsidR="00127C34" w:rsidRPr="00C62699">
        <w:rPr>
          <w:rFonts w:ascii="Arial" w:hAnsi="Arial" w:cs="Arial"/>
          <w:szCs w:val="22"/>
        </w:rPr>
        <w:t xml:space="preserve">, adresa </w:t>
      </w:r>
      <w:r w:rsidR="00BE577C">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B40268F" w:rsidR="001C4DD2" w:rsidRPr="00764100" w:rsidRDefault="00BE577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w:t>
      </w:r>
      <w:r w:rsidR="00D66258">
        <w:rPr>
          <w:rFonts w:ascii="Arial" w:hAnsi="Arial" w:cs="Arial"/>
          <w:b/>
          <w:bCs/>
          <w:szCs w:val="22"/>
        </w:rPr>
        <w:t xml:space="preserve">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365E506D" w:rsidR="0090447A" w:rsidRPr="00764100" w:rsidRDefault="00D66258"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_Ref64278899 \r \h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6.2.6</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D66258">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D8C340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66258">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0A9F44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D66258">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8A48A0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D66258">
        <w:rPr>
          <w:rFonts w:ascii="Arial" w:eastAsia="Times New Roman" w:hAnsi="Arial" w:cs="Arial"/>
          <w:bCs/>
          <w:lang w:eastAsia="cs-CZ"/>
        </w:rPr>
        <w:t xml:space="preserve">ředitel KPÚ pro </w:t>
      </w:r>
      <w:r w:rsidR="00823C98">
        <w:rPr>
          <w:rFonts w:ascii="Arial" w:eastAsia="Times New Roman" w:hAnsi="Arial" w:cs="Arial"/>
          <w:bCs/>
          <w:lang w:eastAsia="cs-CZ"/>
        </w:rPr>
        <w:t>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6781C7E" w14:textId="23334231" w:rsidR="00226532" w:rsidRPr="00823C98" w:rsidRDefault="00226532" w:rsidP="00823C98">
      <w:pPr>
        <w:spacing w:before="480"/>
        <w:rPr>
          <w:rFonts w:ascii="Arial" w:hAnsi="Arial" w:cs="Arial"/>
          <w:b/>
          <w:u w:val="single"/>
        </w:rPr>
      </w:pPr>
    </w:p>
    <w:sectPr w:rsidR="00226532" w:rsidRPr="00823C9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E08D64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2C1864">
      <w:rPr>
        <w:szCs w:val="16"/>
      </w:rPr>
      <w:t xml:space="preserve"> Leština u Malého Března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28D9" w14:textId="77777777" w:rsidR="002C1864" w:rsidRDefault="00043079"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2C1864" w:rsidRPr="001D4BED">
      <w:rPr>
        <w:rFonts w:cs="Arial"/>
        <w:szCs w:val="16"/>
        <w:lang w:val="fr-FR" w:eastAsia="cs-CZ"/>
      </w:rPr>
      <w:t>Číslo Smlouvy Objednatele: (generovat z ASPÚ)</w:t>
    </w:r>
    <w:r w:rsidR="002C1864" w:rsidRPr="001D4BED">
      <w:rPr>
        <w:rFonts w:cs="Arial"/>
        <w:szCs w:val="16"/>
        <w:lang w:val="fr-FR" w:eastAsia="cs-CZ"/>
      </w:rPr>
      <w:tab/>
    </w:r>
  </w:p>
  <w:p w14:paraId="38C3EBC4" w14:textId="77777777" w:rsidR="002C1864"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r>
    <w:r>
      <w:rPr>
        <w:rFonts w:cs="Arial"/>
        <w:szCs w:val="16"/>
        <w:lang w:val="fr-FR" w:eastAsia="cs-CZ"/>
      </w:rPr>
      <w:t>UID dokumentu:</w:t>
    </w:r>
  </w:p>
  <w:p w14:paraId="4F389D5D" w14:textId="77777777" w:rsidR="002C1864" w:rsidRPr="001D4BED"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Pr="001D4BED">
      <w:rPr>
        <w:rFonts w:cs="Arial"/>
        <w:szCs w:val="16"/>
        <w:lang w:val="fr-FR" w:eastAsia="cs-CZ"/>
      </w:rPr>
      <w:t>Číslo Smlouvy Zhotovitele:</w:t>
    </w:r>
    <w:r w:rsidRPr="001D4BED">
      <w:rPr>
        <w:rFonts w:cs="Arial"/>
        <w:szCs w:val="16"/>
        <w:lang w:val="fr-FR" w:eastAsia="cs-CZ"/>
      </w:rPr>
      <w:tab/>
    </w:r>
  </w:p>
  <w:p w14:paraId="49F9C67C" w14:textId="77777777" w:rsidR="002C1864" w:rsidRPr="00683354"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Leština </w:t>
    </w:r>
    <w:r>
      <w:rPr>
        <w:rFonts w:cs="Arial"/>
        <w:szCs w:val="16"/>
        <w:lang w:eastAsia="cs-CZ"/>
      </w:rPr>
      <w:t>u Malého Března</w:t>
    </w:r>
  </w:p>
  <w:p w14:paraId="6F75F815" w14:textId="0E406AC0" w:rsidR="00043079" w:rsidRPr="001D4BED" w:rsidRDefault="00043079"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864"/>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3645"/>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45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3C98"/>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4AE3"/>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77C"/>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258"/>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097E"/>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186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C186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C186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35</Pages>
  <Words>17199</Words>
  <Characters>101478</Characters>
  <Application>Microsoft Office Word</Application>
  <DocSecurity>0</DocSecurity>
  <Lines>845</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Fingerhut Karel</cp:lastModifiedBy>
  <cp:revision>4</cp:revision>
  <cp:lastPrinted>2023-06-15T08:04:00Z</cp:lastPrinted>
  <dcterms:created xsi:type="dcterms:W3CDTF">2023-06-26T04:40:00Z</dcterms:created>
  <dcterms:modified xsi:type="dcterms:W3CDTF">2023-06-27T06:38:00Z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